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2C08" w14:textId="77777777" w:rsidR="007212AF" w:rsidRPr="00C9208E" w:rsidRDefault="007212AF" w:rsidP="00C9208E">
      <w:pPr>
        <w:pStyle w:val="Otsikko10"/>
        <w:spacing w:line="240" w:lineRule="auto"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Sisäelimen biopsia XW2AT, XW4AT</w:t>
      </w:r>
    </w:p>
    <w:p w14:paraId="56D0DC63" w14:textId="10AEC4A3" w:rsidR="007212AF" w:rsidRPr="00C9208E" w:rsidRDefault="007212AF" w:rsidP="00C9208E">
      <w:pPr>
        <w:tabs>
          <w:tab w:val="left" w:pos="8789"/>
        </w:tabs>
        <w:ind w:right="567"/>
        <w:outlineLvl w:val="0"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Sisäelimen ultraäänitutkimuksessa voidaan tutkia esimerkiksi haimaa, maksaa tai sappea. Samalla voidaan ottaa tutkittavasta kohteesta näyte joko ohuella neulalla (ONB = ohutneulanäyte) tai hieman paksummalla neulalla (KNB = paksu- tai karkeaneulanäyte). Tarvittaessa voidaan käyttää ultraäänitehosteainetta (</w:t>
      </w:r>
      <w:proofErr w:type="spellStart"/>
      <w:r w:rsidRPr="00C9208E">
        <w:rPr>
          <w:rFonts w:asciiTheme="minorHAnsi" w:hAnsiTheme="minorHAnsi" w:cstheme="minorHAnsi"/>
        </w:rPr>
        <w:t>SonoVue</w:t>
      </w:r>
      <w:proofErr w:type="spellEnd"/>
      <w:r w:rsidRPr="00C9208E">
        <w:rPr>
          <w:rFonts w:asciiTheme="minorHAnsi" w:hAnsiTheme="minorHAnsi" w:cstheme="minorHAnsi"/>
        </w:rPr>
        <w:t>®). Toimenpiteessä ei käytetä röntgensäteitä.</w:t>
      </w:r>
    </w:p>
    <w:p w14:paraId="25A3A59F" w14:textId="77777777" w:rsidR="007212AF" w:rsidRPr="00C9208E" w:rsidRDefault="007212AF" w:rsidP="00C9208E">
      <w:pPr>
        <w:pStyle w:val="Otsikko20"/>
        <w:spacing w:line="240" w:lineRule="auto"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 xml:space="preserve">Ajan varaaminen ja yhteystiedot </w:t>
      </w:r>
      <w:r w:rsidRPr="00C9208E">
        <w:rPr>
          <w:rFonts w:asciiTheme="minorHAnsi" w:hAnsiTheme="minorHAnsi" w:cstheme="minorHAnsi"/>
        </w:rPr>
        <w:tab/>
      </w:r>
    </w:p>
    <w:p w14:paraId="12159A09" w14:textId="11440F78" w:rsidR="007212AF" w:rsidRPr="00C9208E" w:rsidRDefault="007212AF" w:rsidP="00C9208E">
      <w:pPr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Toimenpide tehdään F:</w:t>
      </w:r>
      <w:r w:rsidR="00680F5C">
        <w:rPr>
          <w:rFonts w:asciiTheme="minorHAnsi" w:hAnsiTheme="minorHAnsi" w:cstheme="minorHAnsi"/>
        </w:rPr>
        <w:t xml:space="preserve"> kuvantaminen</w:t>
      </w:r>
      <w:r w:rsidRPr="00C9208E">
        <w:rPr>
          <w:rFonts w:asciiTheme="minorHAnsi" w:hAnsiTheme="minorHAnsi" w:cstheme="minorHAnsi"/>
        </w:rPr>
        <w:t xml:space="preserve"> (Z3372)</w:t>
      </w:r>
    </w:p>
    <w:p w14:paraId="61C2F381" w14:textId="25339ECC" w:rsidR="007212AF" w:rsidRPr="00C9208E" w:rsidRDefault="007212AF" w:rsidP="00C9208E">
      <w:pPr>
        <w:tabs>
          <w:tab w:val="left" w:pos="7684"/>
        </w:tabs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 xml:space="preserve">Tilaus </w:t>
      </w:r>
      <w:proofErr w:type="spellStart"/>
      <w:r w:rsidRPr="00C9208E">
        <w:rPr>
          <w:rFonts w:asciiTheme="minorHAnsi" w:hAnsiTheme="minorHAnsi" w:cstheme="minorHAnsi"/>
        </w:rPr>
        <w:t>Oberonilta</w:t>
      </w:r>
      <w:proofErr w:type="spellEnd"/>
      <w:r w:rsidRPr="00C9208E">
        <w:rPr>
          <w:rFonts w:asciiTheme="minorHAnsi" w:hAnsiTheme="minorHAnsi" w:cstheme="minorHAnsi"/>
        </w:rPr>
        <w:t>: huone N158 Ultraäänitoimenpide</w:t>
      </w:r>
      <w:r w:rsidR="00C9208E">
        <w:rPr>
          <w:rFonts w:asciiTheme="minorHAnsi" w:hAnsiTheme="minorHAnsi" w:cstheme="minorHAnsi"/>
        </w:rPr>
        <w:tab/>
      </w:r>
    </w:p>
    <w:p w14:paraId="0F048A76" w14:textId="258A41A1" w:rsidR="007212AF" w:rsidRPr="00C9208E" w:rsidRDefault="00D43FDF" w:rsidP="00C9208E">
      <w:pPr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Tiedustelut</w:t>
      </w:r>
      <w:r w:rsidR="007212AF" w:rsidRPr="00C9208E">
        <w:rPr>
          <w:rFonts w:asciiTheme="minorHAnsi" w:hAnsiTheme="minorHAnsi" w:cstheme="minorHAnsi"/>
        </w:rPr>
        <w:t xml:space="preserve"> puh. (08) 3153</w:t>
      </w:r>
      <w:r w:rsidR="005238E5" w:rsidRPr="00C9208E">
        <w:rPr>
          <w:rFonts w:asciiTheme="minorHAnsi" w:hAnsiTheme="minorHAnsi" w:cstheme="minorHAnsi"/>
        </w:rPr>
        <w:t>277</w:t>
      </w:r>
    </w:p>
    <w:p w14:paraId="3C40883D" w14:textId="77777777" w:rsidR="007212AF" w:rsidRPr="00C9208E" w:rsidRDefault="007212AF" w:rsidP="00C9208E">
      <w:pPr>
        <w:spacing w:line="120" w:lineRule="auto"/>
        <w:rPr>
          <w:rFonts w:asciiTheme="minorHAnsi" w:hAnsiTheme="minorHAnsi" w:cstheme="minorHAnsi"/>
        </w:rPr>
      </w:pPr>
    </w:p>
    <w:p w14:paraId="12B76EEB" w14:textId="77777777" w:rsidR="007212AF" w:rsidRPr="00C9208E" w:rsidRDefault="007212AF" w:rsidP="00C9208E">
      <w:pPr>
        <w:rPr>
          <w:rFonts w:asciiTheme="minorHAnsi" w:hAnsiTheme="minorHAnsi" w:cstheme="minorHAnsi"/>
          <w:color w:val="0000FF"/>
          <w:u w:val="single"/>
        </w:rPr>
      </w:pPr>
      <w:r w:rsidRPr="00C9208E">
        <w:rPr>
          <w:rFonts w:asciiTheme="minorHAnsi" w:hAnsiTheme="minorHAnsi" w:cstheme="minorHAnsi"/>
        </w:rPr>
        <w:t xml:space="preserve">Katso ohje: </w:t>
      </w:r>
      <w:hyperlink r:id="rId13" w:history="1">
        <w:r w:rsidRPr="00C9208E">
          <w:rPr>
            <w:rFonts w:asciiTheme="minorHAnsi" w:hAnsiTheme="minorHAnsi" w:cstheme="minorHAnsi"/>
            <w:color w:val="0000FF"/>
            <w:u w:val="single"/>
          </w:rPr>
          <w:t>Tutkimusten ajanvaraus kuvantamisen vastuualueella</w:t>
        </w:r>
      </w:hyperlink>
    </w:p>
    <w:p w14:paraId="2226F049" w14:textId="77777777" w:rsidR="007212AF" w:rsidRPr="00C9208E" w:rsidRDefault="007212AF" w:rsidP="00C9208E">
      <w:pPr>
        <w:pStyle w:val="Otsikko20"/>
        <w:spacing w:line="240" w:lineRule="auto"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 xml:space="preserve">Indikaatiot/kontraindikaatiot ja riskit </w:t>
      </w:r>
    </w:p>
    <w:p w14:paraId="4ADCDBDD" w14:textId="77777777" w:rsidR="007212AF" w:rsidRPr="00C9208E" w:rsidRDefault="007212AF" w:rsidP="00C9208E">
      <w:pPr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Indikaatiot:</w:t>
      </w:r>
      <w:r w:rsidRPr="00C9208E">
        <w:rPr>
          <w:rFonts w:asciiTheme="minorHAnsi" w:hAnsiTheme="minorHAnsi" w:cstheme="minorHAnsi"/>
        </w:rPr>
        <w:tab/>
      </w:r>
      <w:r w:rsidRPr="00C9208E">
        <w:rPr>
          <w:rFonts w:asciiTheme="minorHAnsi" w:hAnsiTheme="minorHAnsi" w:cstheme="minorHAnsi"/>
        </w:rPr>
        <w:tab/>
        <w:t>Sisäelimen kasvaimen tutkiminen</w:t>
      </w:r>
    </w:p>
    <w:p w14:paraId="15EB81BB" w14:textId="77777777" w:rsidR="007212AF" w:rsidRPr="00C9208E" w:rsidRDefault="007212AF" w:rsidP="00C9208E">
      <w:pPr>
        <w:spacing w:line="120" w:lineRule="auto"/>
        <w:rPr>
          <w:rFonts w:asciiTheme="minorHAnsi" w:hAnsiTheme="minorHAnsi" w:cstheme="minorHAnsi"/>
        </w:rPr>
      </w:pPr>
    </w:p>
    <w:p w14:paraId="06DCB19D" w14:textId="77777777" w:rsidR="007212AF" w:rsidRPr="00C9208E" w:rsidRDefault="007212AF" w:rsidP="00C9208E">
      <w:pPr>
        <w:rPr>
          <w:rFonts w:asciiTheme="minorHAnsi" w:hAnsiTheme="minorHAnsi" w:cstheme="minorHAnsi"/>
          <w:lang w:val="sv-SE"/>
        </w:rPr>
      </w:pPr>
      <w:proofErr w:type="spellStart"/>
      <w:r w:rsidRPr="00C9208E">
        <w:rPr>
          <w:rFonts w:asciiTheme="minorHAnsi" w:hAnsiTheme="minorHAnsi" w:cstheme="minorHAnsi"/>
          <w:lang w:val="sv-SE"/>
        </w:rPr>
        <w:t>Kontraindikaatiot</w:t>
      </w:r>
      <w:proofErr w:type="spellEnd"/>
      <w:r w:rsidRPr="00C9208E">
        <w:rPr>
          <w:rFonts w:asciiTheme="minorHAnsi" w:hAnsiTheme="minorHAnsi" w:cstheme="minorHAnsi"/>
          <w:lang w:val="sv-SE"/>
        </w:rPr>
        <w:t>:</w:t>
      </w:r>
      <w:r w:rsidRPr="00C9208E">
        <w:rPr>
          <w:rFonts w:asciiTheme="minorHAnsi" w:hAnsiTheme="minorHAnsi" w:cstheme="minorHAnsi"/>
          <w:lang w:val="sv-SE"/>
        </w:rPr>
        <w:tab/>
        <w:t xml:space="preserve"> P-TT-INR &gt;1,5; B-Hb &lt; 80; B-</w:t>
      </w:r>
      <w:proofErr w:type="spellStart"/>
      <w:r w:rsidRPr="00C9208E">
        <w:rPr>
          <w:rFonts w:asciiTheme="minorHAnsi" w:hAnsiTheme="minorHAnsi" w:cstheme="minorHAnsi"/>
          <w:lang w:val="sv-SE"/>
        </w:rPr>
        <w:t>Trom</w:t>
      </w:r>
      <w:proofErr w:type="spellEnd"/>
      <w:r w:rsidRPr="00C9208E">
        <w:rPr>
          <w:rFonts w:asciiTheme="minorHAnsi" w:hAnsiTheme="minorHAnsi" w:cstheme="minorHAnsi"/>
          <w:lang w:val="sv-SE"/>
        </w:rPr>
        <w:t xml:space="preserve"> &lt;100</w:t>
      </w:r>
    </w:p>
    <w:p w14:paraId="5B967CDF" w14:textId="77777777" w:rsidR="007212AF" w:rsidRPr="00C9208E" w:rsidRDefault="007212AF" w:rsidP="00C9208E">
      <w:pPr>
        <w:rPr>
          <w:rFonts w:asciiTheme="minorHAnsi" w:hAnsiTheme="minorHAnsi" w:cstheme="minorHAnsi"/>
          <w:color w:val="0000FF"/>
          <w:u w:val="single"/>
        </w:rPr>
      </w:pPr>
      <w:r w:rsidRPr="00C9208E">
        <w:rPr>
          <w:rFonts w:asciiTheme="minorHAnsi" w:hAnsiTheme="minorHAnsi" w:cstheme="minorHAnsi"/>
          <w:lang w:val="sv-SE"/>
        </w:rPr>
        <w:tab/>
      </w:r>
      <w:r w:rsidRPr="00C9208E">
        <w:rPr>
          <w:rFonts w:asciiTheme="minorHAnsi" w:hAnsiTheme="minorHAnsi" w:cstheme="minorHAnsi"/>
          <w:lang w:val="sv-SE"/>
        </w:rPr>
        <w:tab/>
      </w:r>
      <w:hyperlink r:id="rId14" w:history="1">
        <w:r w:rsidRPr="00C9208E">
          <w:rPr>
            <w:rFonts w:asciiTheme="minorHAnsi" w:hAnsiTheme="minorHAnsi" w:cstheme="minorHAnsi"/>
            <w:color w:val="0000FF"/>
            <w:u w:val="single"/>
          </w:rPr>
          <w:t>Tehosteultraäänitutkimuksen kontraindikaatiot</w:t>
        </w:r>
      </w:hyperlink>
    </w:p>
    <w:p w14:paraId="374150A0" w14:textId="77777777" w:rsidR="007212AF" w:rsidRPr="00C9208E" w:rsidRDefault="007212AF" w:rsidP="00C9208E">
      <w:pPr>
        <w:spacing w:line="120" w:lineRule="auto"/>
        <w:rPr>
          <w:rFonts w:asciiTheme="minorHAnsi" w:hAnsiTheme="minorHAnsi" w:cstheme="minorHAnsi"/>
        </w:rPr>
      </w:pPr>
    </w:p>
    <w:p w14:paraId="5FBEED41" w14:textId="77777777" w:rsidR="007212AF" w:rsidRPr="00C9208E" w:rsidRDefault="007212AF" w:rsidP="00C9208E">
      <w:pPr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Riskit:</w:t>
      </w:r>
      <w:r w:rsidRPr="00C9208E">
        <w:rPr>
          <w:rFonts w:asciiTheme="minorHAnsi" w:hAnsiTheme="minorHAnsi" w:cstheme="minorHAnsi"/>
        </w:rPr>
        <w:tab/>
      </w:r>
      <w:r w:rsidRPr="00C9208E">
        <w:rPr>
          <w:rFonts w:asciiTheme="minorHAnsi" w:hAnsiTheme="minorHAnsi" w:cstheme="minorHAnsi"/>
        </w:rPr>
        <w:tab/>
        <w:t xml:space="preserve">Puudute- tai tehosteainereaktio, verenvuoto, tulehdus. </w:t>
      </w:r>
    </w:p>
    <w:p w14:paraId="3AA0BC5E" w14:textId="77777777" w:rsidR="007212AF" w:rsidRPr="00C9208E" w:rsidRDefault="007212AF" w:rsidP="00C9208E">
      <w:pPr>
        <w:pStyle w:val="Otsikko2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08E">
        <w:rPr>
          <w:rFonts w:asciiTheme="minorHAnsi" w:hAnsiTheme="minorHAnsi" w:cstheme="minorHAnsi"/>
        </w:rPr>
        <w:t xml:space="preserve">Esivalmistelut </w:t>
      </w:r>
    </w:p>
    <w:p w14:paraId="43672F40" w14:textId="77777777" w:rsidR="007212AF" w:rsidRPr="00C9208E" w:rsidRDefault="007212AF" w:rsidP="00C9208E">
      <w:pPr>
        <w:numPr>
          <w:ilvl w:val="0"/>
          <w:numId w:val="33"/>
        </w:numPr>
        <w:contextualSpacing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Varaa esivalmistelu sekä vuodelepopaikka</w:t>
      </w:r>
    </w:p>
    <w:p w14:paraId="688C8091" w14:textId="77777777" w:rsidR="007212AF" w:rsidRPr="00C9208E" w:rsidRDefault="007212AF" w:rsidP="00C9208E">
      <w:pPr>
        <w:numPr>
          <w:ilvl w:val="0"/>
          <w:numId w:val="36"/>
        </w:numPr>
        <w:rPr>
          <w:rFonts w:asciiTheme="minorHAnsi" w:hAnsiTheme="minorHAnsi" w:cstheme="minorHAnsi"/>
          <w:b/>
        </w:rPr>
      </w:pPr>
      <w:r w:rsidRPr="00C9208E">
        <w:rPr>
          <w:rFonts w:asciiTheme="minorHAnsi" w:hAnsiTheme="minorHAnsi" w:cstheme="minorHAnsi"/>
        </w:rPr>
        <w:t>Veriarvot</w:t>
      </w:r>
    </w:p>
    <w:p w14:paraId="712D1E1A" w14:textId="77777777" w:rsidR="007212AF" w:rsidRPr="00C9208E" w:rsidRDefault="007212AF" w:rsidP="00C9208E">
      <w:pPr>
        <w:numPr>
          <w:ilvl w:val="1"/>
          <w:numId w:val="36"/>
        </w:numPr>
        <w:contextualSpacing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B-PVK (B-Hb &gt; 80, B-</w:t>
      </w:r>
      <w:proofErr w:type="spellStart"/>
      <w:r w:rsidRPr="00C9208E">
        <w:rPr>
          <w:rFonts w:asciiTheme="minorHAnsi" w:hAnsiTheme="minorHAnsi" w:cstheme="minorHAnsi"/>
        </w:rPr>
        <w:t>Trom</w:t>
      </w:r>
      <w:proofErr w:type="spellEnd"/>
      <w:r w:rsidRPr="00C9208E">
        <w:rPr>
          <w:rFonts w:asciiTheme="minorHAnsi" w:hAnsiTheme="minorHAnsi" w:cstheme="minorHAnsi"/>
        </w:rPr>
        <w:t xml:space="preserve"> &gt; 100), enintään 7 vrk vanhat</w:t>
      </w:r>
    </w:p>
    <w:p w14:paraId="6AE8CD12" w14:textId="77777777" w:rsidR="007212AF" w:rsidRPr="00C9208E" w:rsidRDefault="007212AF" w:rsidP="00C9208E">
      <w:pPr>
        <w:numPr>
          <w:ilvl w:val="1"/>
          <w:numId w:val="36"/>
        </w:numPr>
        <w:contextualSpacing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P-TT-INR &lt;1.5. INR-arvo määritetään, jos potilaalla on Marevan -lääkitys tai epäily/diagnosoitu veren hyytymiseen vaikuttava perussairaus. INR-arvo saa olla enintään 1 vrk vanha.</w:t>
      </w:r>
    </w:p>
    <w:p w14:paraId="00100EAC" w14:textId="77777777" w:rsidR="007212AF" w:rsidRPr="00C9208E" w:rsidRDefault="00680F5C" w:rsidP="00C9208E">
      <w:pPr>
        <w:numPr>
          <w:ilvl w:val="0"/>
          <w:numId w:val="33"/>
        </w:numPr>
        <w:rPr>
          <w:rFonts w:asciiTheme="minorHAnsi" w:hAnsiTheme="minorHAnsi" w:cstheme="minorHAnsi"/>
        </w:rPr>
      </w:pPr>
      <w:hyperlink r:id="rId15" w:history="1">
        <w:proofErr w:type="spellStart"/>
        <w:r w:rsidR="007212AF" w:rsidRPr="00C9208E">
          <w:rPr>
            <w:rFonts w:asciiTheme="minorHAnsi" w:hAnsiTheme="minorHAnsi" w:cstheme="minorHAnsi"/>
            <w:color w:val="0000FF"/>
            <w:u w:val="single"/>
          </w:rPr>
          <w:t>Antitromboottisen</w:t>
        </w:r>
        <w:proofErr w:type="spellEnd"/>
        <w:r w:rsidR="007212AF" w:rsidRPr="00C9208E">
          <w:rPr>
            <w:rFonts w:asciiTheme="minorHAnsi" w:hAnsiTheme="minorHAnsi" w:cstheme="minorHAnsi"/>
            <w:color w:val="0000FF"/>
            <w:u w:val="single"/>
          </w:rPr>
          <w:t xml:space="preserve"> lääkityksen tauottaminen.</w:t>
        </w:r>
      </w:hyperlink>
      <w:r w:rsidR="007212AF" w:rsidRPr="00C9208E">
        <w:rPr>
          <w:rFonts w:asciiTheme="minorHAnsi" w:hAnsiTheme="minorHAnsi" w:cstheme="minorHAnsi"/>
        </w:rPr>
        <w:t xml:space="preserve"> </w:t>
      </w:r>
    </w:p>
    <w:p w14:paraId="030F9BF4" w14:textId="77777777" w:rsidR="007212AF" w:rsidRPr="00C9208E" w:rsidRDefault="007212AF" w:rsidP="00C9208E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 xml:space="preserve">Syömättä ja juomatta, tupakoimatta sekä purukumia purematta kuusi (6) tuntia, aamulääkkeet voi ottaa pienen vesimäärän kanssa </w:t>
      </w:r>
    </w:p>
    <w:p w14:paraId="08DE8D5A" w14:textId="77777777" w:rsidR="007212AF" w:rsidRPr="00C9208E" w:rsidRDefault="007212AF" w:rsidP="00C9208E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 xml:space="preserve">Mikäli potilaalla on tablettihoitoinen diabetes, sokeritautilääkkeet jätetään ottamatta. </w:t>
      </w:r>
    </w:p>
    <w:p w14:paraId="5CE16F2F" w14:textId="77777777" w:rsidR="007212AF" w:rsidRPr="00C9208E" w:rsidRDefault="007212AF" w:rsidP="00C9208E">
      <w:pPr>
        <w:numPr>
          <w:ilvl w:val="0"/>
          <w:numId w:val="33"/>
        </w:numPr>
        <w:ind w:right="567"/>
        <w:contextualSpacing/>
        <w:outlineLvl w:val="0"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Mikäli potilaalla on insuliinihoitoinen diabetes, lähettävän yksikön henkilökunta antaa tarkempia valmisteluohjeita</w:t>
      </w:r>
    </w:p>
    <w:p w14:paraId="4F733C47" w14:textId="77777777" w:rsidR="007212AF" w:rsidRPr="00C9208E" w:rsidRDefault="007212AF" w:rsidP="00C9208E">
      <w:pPr>
        <w:numPr>
          <w:ilvl w:val="0"/>
          <w:numId w:val="33"/>
        </w:numPr>
        <w:ind w:right="567"/>
        <w:contextualSpacing/>
        <w:outlineLvl w:val="0"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Toimiva laskimoyhteys</w:t>
      </w:r>
    </w:p>
    <w:p w14:paraId="12DC4E21" w14:textId="77777777" w:rsidR="007212AF" w:rsidRPr="00C9208E" w:rsidRDefault="007212AF" w:rsidP="00C9208E">
      <w:pPr>
        <w:numPr>
          <w:ilvl w:val="0"/>
          <w:numId w:val="33"/>
        </w:numPr>
        <w:ind w:right="567"/>
        <w:contextualSpacing/>
        <w:outlineLvl w:val="0"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Röntgenosasto tulostaa histologisen tutkimustarran. Mikäli halutaan muita näytteitä, tarrat tulee toimittaa potilaan mukana röntgenosastolle</w:t>
      </w:r>
    </w:p>
    <w:p w14:paraId="28AE15C4" w14:textId="77777777" w:rsidR="007212AF" w:rsidRPr="00C9208E" w:rsidRDefault="007212AF" w:rsidP="00C9208E">
      <w:pPr>
        <w:pStyle w:val="Otsikko20"/>
        <w:spacing w:line="240" w:lineRule="auto"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 xml:space="preserve">Toimenpiteen kulku </w:t>
      </w:r>
    </w:p>
    <w:p w14:paraId="3985C882" w14:textId="77777777" w:rsidR="007212AF" w:rsidRPr="00C9208E" w:rsidRDefault="007212AF" w:rsidP="00C9208E">
      <w:pPr>
        <w:numPr>
          <w:ilvl w:val="0"/>
          <w:numId w:val="34"/>
        </w:numPr>
        <w:ind w:right="567"/>
        <w:contextualSpacing/>
        <w:outlineLvl w:val="0"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>Potilas on selällään, kyljellään tai mahallaan. Ultraäänen avulla määritetään pistopaikka.</w:t>
      </w:r>
    </w:p>
    <w:p w14:paraId="5C6A07EE" w14:textId="77777777" w:rsidR="007212AF" w:rsidRPr="00C9208E" w:rsidRDefault="007212AF" w:rsidP="00C9208E">
      <w:pPr>
        <w:numPr>
          <w:ilvl w:val="0"/>
          <w:numId w:val="34"/>
        </w:numPr>
        <w:ind w:right="567"/>
        <w:contextualSpacing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9208E">
        <w:rPr>
          <w:rFonts w:asciiTheme="minorHAnsi" w:hAnsiTheme="minorHAnsi" w:cstheme="minorHAnsi"/>
        </w:rPr>
        <w:lastRenderedPageBreak/>
        <w:t>Toimenpide tehdään steriilisti. Pesun ja paikallispuudutuksen jälkeen otetaan ohutneulanäyte imemällä soluja ruiskulla ja ohuella neulalla tai otetaan paksuneulanäyte. Tällöin tehdään iholle pieni viilto.</w:t>
      </w:r>
    </w:p>
    <w:p w14:paraId="6ABF1418" w14:textId="77777777" w:rsidR="007212AF" w:rsidRPr="00C9208E" w:rsidRDefault="007212AF" w:rsidP="00C9208E">
      <w:pPr>
        <w:numPr>
          <w:ilvl w:val="0"/>
          <w:numId w:val="34"/>
        </w:numPr>
        <w:ind w:right="567"/>
        <w:contextualSpacing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9208E">
        <w:rPr>
          <w:rFonts w:asciiTheme="minorHAnsi" w:hAnsiTheme="minorHAnsi" w:cstheme="minorHAnsi"/>
        </w:rPr>
        <w:t>Viiltoaukosta ohjataan neula kohteeseen ja otetaan yksi tai useampi näyte. Pistopaikkaa painetaan muutama minuutti ja laitetaan haavakalvo päälle</w:t>
      </w:r>
    </w:p>
    <w:p w14:paraId="3F72C65E" w14:textId="77777777" w:rsidR="007212AF" w:rsidRPr="00C9208E" w:rsidRDefault="007212AF" w:rsidP="00C9208E">
      <w:pPr>
        <w:pStyle w:val="Otsikko20"/>
        <w:spacing w:line="240" w:lineRule="auto"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 xml:space="preserve">Jälkihoito ja seuranta </w:t>
      </w:r>
    </w:p>
    <w:p w14:paraId="3130E256" w14:textId="35EC452A" w:rsidR="007212AF" w:rsidRPr="00C9208E" w:rsidRDefault="007212AF" w:rsidP="00C9208E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C9208E">
        <w:rPr>
          <w:rFonts w:asciiTheme="minorHAnsi" w:hAnsiTheme="minorHAnsi" w:cstheme="minorHAnsi"/>
        </w:rPr>
        <w:t xml:space="preserve">Toimenpiteen jälkeinen vuodelepo on 3 tuntia. Tapauskohtaisesti, jos vuotoriski arvioidaan kohonneeksi, lähettävä lääkäri tai toimenpiteen tekijä voi määrätä pitemmän vuodelevon. Osastolla seurataan potilaan verenpainetta ja pulssia. Neulanäytteen jälkeen haavakalvolla suljettu </w:t>
      </w:r>
      <w:r w:rsidR="005238E5" w:rsidRPr="00C9208E">
        <w:rPr>
          <w:rFonts w:asciiTheme="minorHAnsi" w:hAnsiTheme="minorHAnsi" w:cstheme="minorHAnsi"/>
        </w:rPr>
        <w:t>pistopaikka</w:t>
      </w:r>
      <w:r w:rsidRPr="00C9208E">
        <w:rPr>
          <w:rFonts w:asciiTheme="minorHAnsi" w:hAnsiTheme="minorHAnsi" w:cstheme="minorHAnsi"/>
        </w:rPr>
        <w:t xml:space="preserve"> tulee olla kastelematta yhden vuorokauden tulehdusriskin takia. Haavalapun voi poistaa yhden vuorokauden kuluttua. </w:t>
      </w:r>
    </w:p>
    <w:p w14:paraId="79E6CBD7" w14:textId="3C6A291E" w:rsidR="00AA2438" w:rsidRPr="00C9208E" w:rsidRDefault="00AA2438" w:rsidP="00C9208E">
      <w:pPr>
        <w:rPr>
          <w:rFonts w:asciiTheme="minorHAnsi" w:hAnsiTheme="minorHAnsi" w:cstheme="minorHAnsi"/>
        </w:rPr>
      </w:pPr>
    </w:p>
    <w:sectPr w:rsidR="00AA2438" w:rsidRPr="00C9208E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54B805E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D97DB81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7212AF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Partanen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3D97DB81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7212AF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Partanen Minna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00BF2BF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E7399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00BF2BF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E7399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5F1AB1">
      <w:rPr>
        <w:szCs w:val="24"/>
      </w:rPr>
      <w:tab/>
    </w:r>
    <w:r w:rsidR="005F1AB1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C1521">
          <w:rPr>
            <w:sz w:val="16"/>
            <w:szCs w:val="16"/>
          </w:rPr>
          <w:t xml:space="preserve">Sisäelimen biopsia </w:t>
        </w:r>
        <w:proofErr w:type="spellStart"/>
        <w:r w:rsidR="00BC1521">
          <w:rPr>
            <w:sz w:val="16"/>
            <w:szCs w:val="16"/>
          </w:rPr>
          <w:t>kuv</w:t>
        </w:r>
        <w:proofErr w:type="spellEnd"/>
        <w:r w:rsidR="00BC1521">
          <w:rPr>
            <w:sz w:val="16"/>
            <w:szCs w:val="16"/>
          </w:rPr>
          <w:t xml:space="preserve"> til</w:t>
        </w:r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2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37529E9" w:rsidR="000631E7" w:rsidRPr="004E7FC1" w:rsidRDefault="00680F5C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23.12.2024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E918BB"/>
    <w:multiLevelType w:val="hybridMultilevel"/>
    <w:tmpl w:val="01B4C1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B6F7EC8"/>
    <w:multiLevelType w:val="hybridMultilevel"/>
    <w:tmpl w:val="C8B6A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B306A"/>
    <w:multiLevelType w:val="hybridMultilevel"/>
    <w:tmpl w:val="7D1885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A4B01AF"/>
    <w:multiLevelType w:val="hybridMultilevel"/>
    <w:tmpl w:val="74A435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1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7"/>
  </w:num>
  <w:num w:numId="3" w16cid:durableId="1214081591">
    <w:abstractNumId w:val="1"/>
  </w:num>
  <w:num w:numId="4" w16cid:durableId="334958258">
    <w:abstractNumId w:val="30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2"/>
  </w:num>
  <w:num w:numId="8" w16cid:durableId="1754813634">
    <w:abstractNumId w:val="22"/>
  </w:num>
  <w:num w:numId="9" w16cid:durableId="1606114846">
    <w:abstractNumId w:val="22"/>
  </w:num>
  <w:num w:numId="10" w16cid:durableId="1477645058">
    <w:abstractNumId w:val="4"/>
  </w:num>
  <w:num w:numId="11" w16cid:durableId="841121598">
    <w:abstractNumId w:val="25"/>
  </w:num>
  <w:num w:numId="12" w16cid:durableId="225991095">
    <w:abstractNumId w:val="14"/>
  </w:num>
  <w:num w:numId="13" w16cid:durableId="70978191">
    <w:abstractNumId w:val="9"/>
  </w:num>
  <w:num w:numId="14" w16cid:durableId="240528770">
    <w:abstractNumId w:val="18"/>
  </w:num>
  <w:num w:numId="15" w16cid:durableId="452208856">
    <w:abstractNumId w:val="24"/>
  </w:num>
  <w:num w:numId="16" w16cid:durableId="1796949018">
    <w:abstractNumId w:val="10"/>
  </w:num>
  <w:num w:numId="17" w16cid:durableId="627246728">
    <w:abstractNumId w:val="6"/>
  </w:num>
  <w:num w:numId="18" w16cid:durableId="1203321292">
    <w:abstractNumId w:val="15"/>
  </w:num>
  <w:num w:numId="19" w16cid:durableId="338584785">
    <w:abstractNumId w:val="7"/>
  </w:num>
  <w:num w:numId="20" w16cid:durableId="1700349936">
    <w:abstractNumId w:val="32"/>
  </w:num>
  <w:num w:numId="21" w16cid:durableId="2002350878">
    <w:abstractNumId w:val="33"/>
  </w:num>
  <w:num w:numId="22" w16cid:durableId="204828846">
    <w:abstractNumId w:val="21"/>
  </w:num>
  <w:num w:numId="23" w16cid:durableId="440537796">
    <w:abstractNumId w:val="8"/>
  </w:num>
  <w:num w:numId="24" w16cid:durableId="495077311">
    <w:abstractNumId w:val="12"/>
  </w:num>
  <w:num w:numId="25" w16cid:durableId="1332100559">
    <w:abstractNumId w:val="31"/>
  </w:num>
  <w:num w:numId="26" w16cid:durableId="22098103">
    <w:abstractNumId w:val="27"/>
  </w:num>
  <w:num w:numId="27" w16cid:durableId="627932154">
    <w:abstractNumId w:val="28"/>
  </w:num>
  <w:num w:numId="28" w16cid:durableId="1895432760">
    <w:abstractNumId w:val="3"/>
  </w:num>
  <w:num w:numId="29" w16cid:durableId="1219315480">
    <w:abstractNumId w:val="23"/>
  </w:num>
  <w:num w:numId="30" w16cid:durableId="607129064">
    <w:abstractNumId w:val="19"/>
  </w:num>
  <w:num w:numId="31" w16cid:durableId="495337886">
    <w:abstractNumId w:val="20"/>
  </w:num>
  <w:num w:numId="32" w16cid:durableId="191773934">
    <w:abstractNumId w:val="26"/>
  </w:num>
  <w:num w:numId="33" w16cid:durableId="809322000">
    <w:abstractNumId w:val="11"/>
  </w:num>
  <w:num w:numId="34" w16cid:durableId="535430512">
    <w:abstractNumId w:val="29"/>
  </w:num>
  <w:num w:numId="35" w16cid:durableId="986324260">
    <w:abstractNumId w:val="16"/>
  </w:num>
  <w:num w:numId="36" w16cid:durableId="635570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3BF5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38E5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1AB1"/>
    <w:rsid w:val="00607A25"/>
    <w:rsid w:val="00645FEE"/>
    <w:rsid w:val="00665636"/>
    <w:rsid w:val="00667410"/>
    <w:rsid w:val="00673E18"/>
    <w:rsid w:val="00680F5C"/>
    <w:rsid w:val="00684254"/>
    <w:rsid w:val="006A3BD6"/>
    <w:rsid w:val="006A7F7F"/>
    <w:rsid w:val="006F306A"/>
    <w:rsid w:val="006F7151"/>
    <w:rsid w:val="0072107C"/>
    <w:rsid w:val="007212AF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152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9208E"/>
    <w:rsid w:val="00CC64C2"/>
    <w:rsid w:val="00CE55E8"/>
    <w:rsid w:val="00D14FAA"/>
    <w:rsid w:val="00D21300"/>
    <w:rsid w:val="00D42DB3"/>
    <w:rsid w:val="00D43FDF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Kuvantamisen%20ohje%20sislttyyppi/Antitromboottisen%20l&#228;&#228;kityksen%20tauottaminen%20sis&#228;elinbiopsioissa%20tai%20drenaaseissa%20oys%20kuv%20til.doc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Tehosteultra&#228;&#228;nitutkimus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253</Value>
      <Value>1527</Value>
      <Value>44</Value>
      <Value>1329</Value>
      <Value>42</Value>
      <Value>41</Value>
      <Value>252</Value>
      <Value>821</Value>
      <Value>820</Value>
      <Value>57</Value>
    </TaxCatchAll>
    <Language xmlns="http://schemas.microsoft.com/sharepoint/v3">suomi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i:0#.w|oysnet\viittaem</DisplayName>
        <AccountId>6521</AccountId>
        <AccountType/>
      </UserInfo>
      <UserInfo>
        <DisplayName>i:0#.w|oysnet\annalasu</DisplayName>
        <AccountId>6397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XW2AT Muun sisäelimen solunäytteen otto UÄ-ohjauksessa</TermName>
          <TermId xmlns="http://schemas.microsoft.com/office/infopath/2007/PartnerControls">c975b9d3-4e48-4ab9-9e9e-3230c22f32c5</TermId>
        </TermInfo>
        <TermInfo xmlns="http://schemas.microsoft.com/office/infopath/2007/PartnerControls">
          <TermName xmlns="http://schemas.microsoft.com/office/infopath/2007/PartnerControls">XW4AT Muun sisäelimen kudosnäytteen otto UÄ-ohjauksessa</TermName>
          <TermId xmlns="http://schemas.microsoft.com/office/infopath/2007/PartnerControls">7a5abd8f-9667-455b-869b-13522b82aea9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PPSHP-1249379545-9542</_dlc_DocId>
    <_dlc_DocIdUrl xmlns="d3e50268-7799-48af-83c3-9a9b063078bc">
      <Url>https://julkaisu.oysnet.ppshp.fi/_layouts/15/DocIdRedir.aspx?ID=PPSHP-1249379545-9542</Url>
      <Description>PPSHP-1249379545-9542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71B7D-3705-43BE-96CA-A5AEA851F621}"/>
</file>

<file path=customXml/itemProps3.xml><?xml version="1.0" encoding="utf-8"?>
<ds:datastoreItem xmlns:ds="http://schemas.openxmlformats.org/officeDocument/2006/customXml" ds:itemID="{7035DDA4-B34D-49E6-B916-6734A2CE3B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FA63621-F29A-4D39-86BD-953389008A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purl.org/dc/dcmitype/"/>
    <ds:schemaRef ds:uri="0af04246-5dcb-4e38-b8a1-4adaeb36812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Sisäelimen biopsia kuv til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Sisäelimen biopsia kuv til</dc:title>
  <dc:subject/>
  <dc:creator/>
  <cp:keywords/>
  <dc:description/>
  <cp:lastModifiedBy/>
  <cp:revision>1</cp:revision>
  <dcterms:created xsi:type="dcterms:W3CDTF">2024-01-03T11:04:00Z</dcterms:created>
  <dcterms:modified xsi:type="dcterms:W3CDTF">2024-12-23T12:16:00Z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a21a47bf-7d6a-4cd1-9204-34183d574c8e</vt:lpwstr>
  </property>
  <property fmtid="{D5CDD505-2E9C-101B-9397-08002B2CF9AE}" pid="18" name="Dokumentti jaetaan myös ekstranetissä">
    <vt:bool>true</vt:bool>
  </property>
  <property fmtid="{D5CDD505-2E9C-101B-9397-08002B2CF9AE}" pid="19" name="Kuvantamisen ohjeen elinryhmät (sisältötyypin metatieto)">
    <vt:lpwstr>985;#Vatsa|742a4a75-8931-4b64-9de3-d85c3222646f</vt:lpwstr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57;#Ultraääni|4f08c06f-311d-4072-8d29-e53fb16e4043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1329;#Tilaajaohje|1239afa4-5392-4d15-bec1-ee71147d5603</vt:lpwstr>
  </property>
  <property fmtid="{D5CDD505-2E9C-101B-9397-08002B2CF9AE}" pid="27" name="Toimenpidekoodit">
    <vt:lpwstr>252;#XW2AT Muun sisäelimen solunäytteen otto UÄ-ohjauksessa|c975b9d3-4e48-4ab9-9e9e-3230c22f32c5;#253;#XW4AT Muun sisäelimen kudosnäytteen otto UÄ-ohjauksessa|7a5abd8f-9667-455b-869b-13522b82aea9</vt:lpwstr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0" name="Kohdeorganisaatio">
    <vt:lpwstr>41;#Kuvantaminen|13fd9652-4cc4-4c00-9faf-49cd9c600ecb</vt:lpwstr>
  </property>
  <property fmtid="{D5CDD505-2E9C-101B-9397-08002B2CF9AE}" pid="31" name="Order">
    <vt:r8>954200</vt:r8>
  </property>
  <property fmtid="{D5CDD505-2E9C-101B-9397-08002B2CF9AE}" pid="33" name="TaxKeywordTaxHTField">
    <vt:lpwstr/>
  </property>
  <property fmtid="{D5CDD505-2E9C-101B-9397-08002B2CF9AE}" pid="34" name="SharedWithUsers">
    <vt:lpwstr/>
  </property>
</Properties>
</file>